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5E" w:rsidRPr="00D454B7" w:rsidRDefault="000E38BD">
      <w:pPr>
        <w:rPr>
          <w:b/>
          <w:color w:val="548DD4" w:themeColor="text2" w:themeTint="99"/>
          <w:sz w:val="32"/>
          <w:szCs w:val="32"/>
        </w:rPr>
      </w:pPr>
      <w:bookmarkStart w:id="0" w:name="_GoBack"/>
      <w:bookmarkEnd w:id="0"/>
      <w:r>
        <w:rPr>
          <w:b/>
          <w:noProof/>
          <w:color w:val="1F497D" w:themeColor="text2"/>
          <w:sz w:val="32"/>
          <w:szCs w:val="32"/>
        </w:rPr>
        <w:drawing>
          <wp:inline distT="0" distB="0" distL="0" distR="0">
            <wp:extent cx="621565" cy="651933"/>
            <wp:effectExtent l="0" t="0" r="7620" b="0"/>
            <wp:docPr id="4" name="Picture 4" descr="C:\Users\KMARSHALL\AppData\Local\Microsoft\Windows\Temporary Internet Files\Content.IE5\NDGH5BRX\check-lis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MARSHALL\AppData\Local\Microsoft\Windows\Temporary Internet Files\Content.IE5\NDGH5BRX\check-lis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90" cy="6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585" w:rsidRPr="000E38BD">
        <w:rPr>
          <w:b/>
          <w:color w:val="76923C" w:themeColor="accent3" w:themeShade="BF"/>
          <w:sz w:val="32"/>
          <w:szCs w:val="32"/>
        </w:rPr>
        <w:t>Differences between Conditions of Approval and Standard Conditions</w:t>
      </w:r>
    </w:p>
    <w:p w:rsidR="00641585" w:rsidRDefault="00641585"/>
    <w:p w:rsidR="00641585" w:rsidRPr="000E38BD" w:rsidRDefault="00641585">
      <w:pPr>
        <w:rPr>
          <w:b/>
          <w:color w:val="76923C" w:themeColor="accent3" w:themeShade="BF"/>
          <w:u w:val="single"/>
        </w:rPr>
      </w:pPr>
      <w:r w:rsidRPr="000E38BD">
        <w:rPr>
          <w:b/>
          <w:color w:val="76923C" w:themeColor="accent3" w:themeShade="BF"/>
          <w:u w:val="single"/>
        </w:rPr>
        <w:t>Conditions of Approval</w:t>
      </w:r>
    </w:p>
    <w:p w:rsidR="00641585" w:rsidRDefault="00641585" w:rsidP="00641585">
      <w:pPr>
        <w:pStyle w:val="ListParagraph"/>
        <w:numPr>
          <w:ilvl w:val="0"/>
          <w:numId w:val="1"/>
        </w:numPr>
      </w:pPr>
      <w:r>
        <w:t>Indicate for specific conditions of approval for permit issuance unique to the given permit/record</w:t>
      </w:r>
      <w:r w:rsidR="0062401E">
        <w:t>/scope of work</w:t>
      </w:r>
      <w:r>
        <w:t>; particularly items that would have to be fulfilled and/or completed prior to project completion as a caveat of permit issuance</w:t>
      </w:r>
      <w:r w:rsidR="00D95660">
        <w:t xml:space="preserve"> or occupancy</w:t>
      </w:r>
    </w:p>
    <w:p w:rsidR="00641585" w:rsidRDefault="00641585" w:rsidP="00641585">
      <w:pPr>
        <w:pStyle w:val="ListParagraph"/>
        <w:numPr>
          <w:ilvl w:val="0"/>
          <w:numId w:val="1"/>
        </w:numPr>
      </w:pPr>
      <w:r>
        <w:t>Tend to be project/permit specific in nature and time sensitive</w:t>
      </w:r>
    </w:p>
    <w:p w:rsidR="00346B4C" w:rsidRDefault="0062401E" w:rsidP="00641585">
      <w:pPr>
        <w:pStyle w:val="ListParagraph"/>
        <w:numPr>
          <w:ilvl w:val="0"/>
          <w:numId w:val="1"/>
        </w:numPr>
      </w:pPr>
      <w:r>
        <w:t>Are included on the Building Permit report</w:t>
      </w:r>
      <w:r w:rsidR="00346B4C">
        <w:t xml:space="preserve"> (when indicated for “ACA displayable”)</w:t>
      </w:r>
      <w:r w:rsidR="00D454B7">
        <w:t xml:space="preserve"> [also included on the Public Works Permit </w:t>
      </w:r>
      <w:r w:rsidR="00A960EF">
        <w:t>and Onsite Permit reports</w:t>
      </w:r>
      <w:r w:rsidR="00D454B7">
        <w:t>]</w:t>
      </w:r>
    </w:p>
    <w:p w:rsidR="00641585" w:rsidRDefault="004A6FEB" w:rsidP="00641585">
      <w:pPr>
        <w:pStyle w:val="ListParagraph"/>
        <w:numPr>
          <w:ilvl w:val="0"/>
          <w:numId w:val="1"/>
        </w:numPr>
      </w:pPr>
      <w:r>
        <w:t xml:space="preserve">Is automatically applied only as a “Notice” which does </w:t>
      </w:r>
      <w:r w:rsidRPr="00346B4C">
        <w:rPr>
          <w:u w:val="single"/>
        </w:rPr>
        <w:t>not</w:t>
      </w:r>
      <w:r>
        <w:t xml:space="preserve"> stop any activity on the record such as payment processing or inspection scheduling</w:t>
      </w:r>
    </w:p>
    <w:p w:rsidR="00641585" w:rsidRPr="000E38BD" w:rsidRDefault="00641585" w:rsidP="00641585">
      <w:pPr>
        <w:rPr>
          <w:b/>
          <w:color w:val="76923C" w:themeColor="accent3" w:themeShade="BF"/>
          <w:u w:val="single"/>
        </w:rPr>
      </w:pPr>
      <w:r w:rsidRPr="000E38BD">
        <w:rPr>
          <w:b/>
          <w:color w:val="76923C" w:themeColor="accent3" w:themeShade="BF"/>
          <w:u w:val="single"/>
        </w:rPr>
        <w:t>Conditions (Standard)</w:t>
      </w:r>
    </w:p>
    <w:p w:rsidR="00641585" w:rsidRDefault="00641585" w:rsidP="00641585">
      <w:pPr>
        <w:pStyle w:val="ListParagraph"/>
        <w:numPr>
          <w:ilvl w:val="0"/>
          <w:numId w:val="2"/>
        </w:numPr>
      </w:pPr>
      <w:r>
        <w:t>Tend to be more global in nature and applicable more often to reference data such as parcels, addresses, licensed professionals –</w:t>
      </w:r>
      <w:r w:rsidR="00D454B7">
        <w:t xml:space="preserve"> </w:t>
      </w:r>
      <w:r>
        <w:t xml:space="preserve">regardless of the project/permit they are </w:t>
      </w:r>
      <w:r w:rsidR="00A960EF">
        <w:t>associated to</w:t>
      </w:r>
      <w:r w:rsidR="00296C53">
        <w:t xml:space="preserve">.  Example: applying a standard condition (typically a “notice”) to a general parcel in reference that is in the floodplain so that anytime that parcel is used for </w:t>
      </w:r>
      <w:r w:rsidR="00296C53" w:rsidRPr="00D454B7">
        <w:rPr>
          <w:i/>
        </w:rPr>
        <w:t>a</w:t>
      </w:r>
      <w:r w:rsidR="0062401E" w:rsidRPr="00D454B7">
        <w:rPr>
          <w:i/>
        </w:rPr>
        <w:t>ny</w:t>
      </w:r>
      <w:r w:rsidR="00296C53">
        <w:t xml:space="preserve"> permit application, that information is shared</w:t>
      </w:r>
    </w:p>
    <w:p w:rsidR="00296C53" w:rsidRDefault="0062401E" w:rsidP="00641585">
      <w:pPr>
        <w:pStyle w:val="ListParagraph"/>
        <w:numPr>
          <w:ilvl w:val="0"/>
          <w:numId w:val="2"/>
        </w:numPr>
      </w:pPr>
      <w:r>
        <w:t xml:space="preserve">Are </w:t>
      </w:r>
      <w:r w:rsidRPr="0062401E">
        <w:rPr>
          <w:u w:val="single"/>
        </w:rPr>
        <w:t>not</w:t>
      </w:r>
      <w:r>
        <w:t xml:space="preserve"> generally time sensitive</w:t>
      </w:r>
    </w:p>
    <w:p w:rsidR="0062401E" w:rsidRDefault="0062401E" w:rsidP="00641585">
      <w:pPr>
        <w:pStyle w:val="ListParagraph"/>
        <w:numPr>
          <w:ilvl w:val="0"/>
          <w:numId w:val="2"/>
        </w:numPr>
      </w:pPr>
      <w:r>
        <w:t xml:space="preserve">Are </w:t>
      </w:r>
      <w:r w:rsidRPr="0062401E">
        <w:rPr>
          <w:u w:val="single"/>
        </w:rPr>
        <w:t>not</w:t>
      </w:r>
      <w:r>
        <w:t xml:space="preserve"> indicated on the Building Permit or Certificate of Occupancy reports (note: must use </w:t>
      </w:r>
      <w:r w:rsidR="00A960EF">
        <w:t xml:space="preserve">a status of “Approved with Conditions” on the C of O workflow task to </w:t>
      </w:r>
      <w:r>
        <w:t xml:space="preserve">include any </w:t>
      </w:r>
      <w:r w:rsidR="00866379">
        <w:t>notable items related to</w:t>
      </w:r>
      <w:r>
        <w:t xml:space="preserve"> occupancy on the Certificate of Occupancy report</w:t>
      </w:r>
      <w:r w:rsidR="00866379">
        <w:t>, ie. in a floodplain, residential fire system required due to subdivision fire access</w:t>
      </w:r>
      <w:r>
        <w:t>)</w:t>
      </w:r>
    </w:p>
    <w:p w:rsidR="004A6FEB" w:rsidRDefault="004A6FEB" w:rsidP="00641585">
      <w:pPr>
        <w:pStyle w:val="ListParagraph"/>
        <w:numPr>
          <w:ilvl w:val="0"/>
          <w:numId w:val="2"/>
        </w:numPr>
      </w:pPr>
      <w:r>
        <w:t>Can be applied as a “Notice”, “Hold”, or “Lock” – particularly where a Hold or Lock will technically not allow additional activity on the record such as payment posting or inspection scheduling</w:t>
      </w:r>
    </w:p>
    <w:p w:rsidR="007D326C" w:rsidRDefault="007D326C" w:rsidP="007D326C"/>
    <w:p w:rsidR="00D454B7" w:rsidRDefault="00D454B7" w:rsidP="007D326C">
      <w:r w:rsidRPr="00D454B7">
        <w:rPr>
          <w:b/>
        </w:rPr>
        <w:t>** Important N</w:t>
      </w:r>
      <w:r w:rsidR="007D326C" w:rsidRPr="00D454B7">
        <w:rPr>
          <w:b/>
        </w:rPr>
        <w:t>ote:</w:t>
      </w:r>
      <w:r w:rsidR="007D326C">
        <w:t xml:space="preserve">  currently only the Conditions (Standard) </w:t>
      </w:r>
      <w:r w:rsidR="007D326C" w:rsidRPr="007D326C">
        <w:rPr>
          <w:i/>
        </w:rPr>
        <w:t xml:space="preserve">applied </w:t>
      </w:r>
      <w:r>
        <w:rPr>
          <w:i/>
        </w:rPr>
        <w:t>to</w:t>
      </w:r>
      <w:r w:rsidR="007D326C" w:rsidRPr="007D326C">
        <w:rPr>
          <w:i/>
        </w:rPr>
        <w:t xml:space="preserve"> the Record</w:t>
      </w:r>
      <w:r w:rsidR="007D326C">
        <w:t xml:space="preserve"> show thru to the Inspector App [</w:t>
      </w:r>
      <w:r w:rsidR="002677D3">
        <w:t>Accela design</w:t>
      </w:r>
      <w:r w:rsidR="007D326C">
        <w:t xml:space="preserve">] – ePermitting has requested that </w:t>
      </w:r>
      <w:r w:rsidR="007D326C" w:rsidRPr="007D326C">
        <w:rPr>
          <w:u w:val="single"/>
        </w:rPr>
        <w:t>all</w:t>
      </w:r>
      <w:r w:rsidR="007D326C">
        <w:t xml:space="preserve"> Conditions (Standard) and Conditions of Approval show thru to the Inspector App</w:t>
      </w:r>
      <w:r w:rsidR="00F0721A">
        <w:t xml:space="preserve"> but we are not sure </w:t>
      </w:r>
      <w:r w:rsidR="007D326C">
        <w:t xml:space="preserve">.  If </w:t>
      </w:r>
      <w:r w:rsidR="002677D3">
        <w:t>it is important that a</w:t>
      </w:r>
      <w:r w:rsidR="007D326C">
        <w:t xml:space="preserve"> Condition of Approval show thru to the Inspector App, </w:t>
      </w:r>
      <w:r w:rsidR="002677D3">
        <w:t>consider</w:t>
      </w:r>
      <w:r w:rsidR="007D326C">
        <w:t xml:space="preserve"> duplicating the condition as a Condition (Standard) applied to the individual record so it will show thru as desired.</w:t>
      </w:r>
      <w:r w:rsidR="002677D3">
        <w:t xml:space="preserve">  </w:t>
      </w:r>
    </w:p>
    <w:p w:rsidR="007D326C" w:rsidRDefault="002677D3" w:rsidP="007D326C">
      <w:r>
        <w:t xml:space="preserve">In all other cases, careful consideration should be </w:t>
      </w:r>
      <w:r w:rsidR="00D454B7">
        <w:t>taken</w:t>
      </w:r>
      <w:r>
        <w:t xml:space="preserve"> on whether a permit-specific condition should be added as a Condition of Approval or </w:t>
      </w:r>
      <w:r w:rsidR="00D454B7">
        <w:t xml:space="preserve">as </w:t>
      </w:r>
      <w:r>
        <w:t xml:space="preserve">a Condition (Standard) </w:t>
      </w:r>
      <w:r w:rsidR="00D454B7">
        <w:t xml:space="preserve">applied to the Record </w:t>
      </w:r>
      <w:r>
        <w:t>based on the intent of the condition</w:t>
      </w:r>
      <w:r w:rsidR="00D454B7">
        <w:t>.  I</w:t>
      </w:r>
      <w:r>
        <w:t xml:space="preserve">f it is necessary to stop </w:t>
      </w:r>
      <w:r w:rsidR="00D454B7">
        <w:t>progress/</w:t>
      </w:r>
      <w:r>
        <w:t>activity on the specific record, then it should be added as a Condition (Standard) with severity of Hold or Lock to prevent payment processing or inspection scheduling</w:t>
      </w:r>
      <w:r w:rsidR="00D454B7">
        <w:t xml:space="preserve"> – if it should only serve as a requirement at project completion, then it should likely be added as a Condition of Approval .. keeping in mind the above “Important Note”.</w:t>
      </w:r>
    </w:p>
    <w:sectPr w:rsidR="007D326C" w:rsidSect="00D454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1197A"/>
    <w:multiLevelType w:val="hybridMultilevel"/>
    <w:tmpl w:val="0CF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2790B"/>
    <w:multiLevelType w:val="hybridMultilevel"/>
    <w:tmpl w:val="C254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85"/>
    <w:rsid w:val="000E38BD"/>
    <w:rsid w:val="002677D3"/>
    <w:rsid w:val="00296C53"/>
    <w:rsid w:val="00346B4C"/>
    <w:rsid w:val="004A6FEB"/>
    <w:rsid w:val="0062401E"/>
    <w:rsid w:val="00641585"/>
    <w:rsid w:val="007D326C"/>
    <w:rsid w:val="00866379"/>
    <w:rsid w:val="00877429"/>
    <w:rsid w:val="009C745E"/>
    <w:rsid w:val="00A960EF"/>
    <w:rsid w:val="00CD1030"/>
    <w:rsid w:val="00D454B7"/>
    <w:rsid w:val="00D95660"/>
    <w:rsid w:val="00F0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5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5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E8B3DC91.dotm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KMARSHALL</dc:creator>
  <cp:lastModifiedBy>Allman Krista M</cp:lastModifiedBy>
  <cp:revision>2</cp:revision>
  <dcterms:created xsi:type="dcterms:W3CDTF">2017-12-13T22:32:00Z</dcterms:created>
  <dcterms:modified xsi:type="dcterms:W3CDTF">2017-12-13T22:32:00Z</dcterms:modified>
</cp:coreProperties>
</file>