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5D" w:rsidRPr="0070696B" w:rsidRDefault="0070696B" w:rsidP="0070696B">
      <w:pPr>
        <w:spacing w:after="0" w:line="240" w:lineRule="auto"/>
        <w:jc w:val="center"/>
        <w:rPr>
          <w:b/>
          <w:sz w:val="36"/>
          <w:szCs w:val="36"/>
        </w:rPr>
      </w:pPr>
      <w:r w:rsidRPr="0070696B">
        <w:rPr>
          <w:b/>
          <w:sz w:val="36"/>
          <w:szCs w:val="36"/>
        </w:rPr>
        <w:t>Service Lock</w:t>
      </w:r>
      <w:r w:rsidR="007E178E">
        <w:rPr>
          <w:b/>
          <w:sz w:val="36"/>
          <w:szCs w:val="36"/>
        </w:rPr>
        <w:t xml:space="preserve"> Conditions</w:t>
      </w:r>
      <w:r w:rsidRPr="0070696B">
        <w:rPr>
          <w:b/>
          <w:sz w:val="36"/>
          <w:szCs w:val="36"/>
        </w:rPr>
        <w:t xml:space="preserve"> on Addresses</w:t>
      </w:r>
    </w:p>
    <w:p w:rsidR="0070696B" w:rsidRDefault="0070696B" w:rsidP="0070696B">
      <w:pPr>
        <w:spacing w:after="0" w:line="240" w:lineRule="auto"/>
        <w:jc w:val="center"/>
      </w:pPr>
    </w:p>
    <w:p w:rsidR="008B0403" w:rsidRPr="00237F52" w:rsidRDefault="008B0403" w:rsidP="0070696B">
      <w:pPr>
        <w:spacing w:after="0" w:line="240" w:lineRule="auto"/>
        <w:rPr>
          <w:b/>
          <w:i/>
          <w:color w:val="4472C4" w:themeColor="accent5"/>
          <w:sz w:val="28"/>
        </w:rPr>
      </w:pPr>
      <w:r w:rsidRPr="00237F52">
        <w:rPr>
          <w:b/>
          <w:i/>
          <w:color w:val="4472C4" w:themeColor="accent5"/>
          <w:sz w:val="28"/>
        </w:rPr>
        <w:t>Introduction:</w:t>
      </w:r>
    </w:p>
    <w:p w:rsidR="0070696B" w:rsidRDefault="007E178E" w:rsidP="0070696B">
      <w:pPr>
        <w:spacing w:after="0" w:line="240" w:lineRule="auto"/>
      </w:pPr>
      <w:r>
        <w:t xml:space="preserve">Service Lock Conditions are used in scenarios where the County provides </w:t>
      </w:r>
      <w:r w:rsidR="001F1CAF">
        <w:t xml:space="preserve">only specific permit services for </w:t>
      </w:r>
      <w:r>
        <w:t xml:space="preserve">Cities within their boundaries, like Electrical, but they do not provide </w:t>
      </w:r>
      <w:r w:rsidR="001F1CAF">
        <w:t>other services</w:t>
      </w:r>
      <w:r w:rsidR="00342412">
        <w:t xml:space="preserve">, like Mechanical, Plumbing, </w:t>
      </w:r>
      <w:r w:rsidR="0074677F">
        <w:t>or</w:t>
      </w:r>
      <w:r w:rsidR="00342412">
        <w:t xml:space="preserve"> Structural</w:t>
      </w:r>
      <w:r w:rsidR="001F1CAF">
        <w:t xml:space="preserve">.  The Service Lock Conditions are applied to the address and </w:t>
      </w:r>
      <w:r w:rsidR="00D35F78">
        <w:t>“</w:t>
      </w:r>
      <w:r w:rsidR="000D7C27">
        <w:t>lock</w:t>
      </w:r>
      <w:r w:rsidR="00D35F78">
        <w:t xml:space="preserve">” or </w:t>
      </w:r>
      <w:r w:rsidR="00860ACF">
        <w:t>hide services that do not apply.</w:t>
      </w:r>
    </w:p>
    <w:p w:rsidR="007E178E" w:rsidRDefault="007E178E" w:rsidP="0070696B">
      <w:pPr>
        <w:spacing w:after="0" w:line="240" w:lineRule="auto"/>
      </w:pPr>
    </w:p>
    <w:p w:rsidR="007E178E" w:rsidRPr="007E178E" w:rsidRDefault="007E178E" w:rsidP="0070696B">
      <w:pPr>
        <w:spacing w:after="0" w:line="240" w:lineRule="auto"/>
        <w:rPr>
          <w:b/>
        </w:rPr>
      </w:pPr>
      <w:r w:rsidRPr="007E178E">
        <w:rPr>
          <w:b/>
        </w:rPr>
        <w:t>For example:</w:t>
      </w:r>
    </w:p>
    <w:p w:rsidR="00DB5F75" w:rsidRDefault="00DB5F75" w:rsidP="0070696B">
      <w:pPr>
        <w:spacing w:after="0" w:line="240" w:lineRule="auto"/>
      </w:pPr>
    </w:p>
    <w:p w:rsidR="007E178E" w:rsidRPr="00364D16" w:rsidRDefault="007E178E" w:rsidP="00364D16">
      <w:pPr>
        <w:spacing w:after="0" w:line="240" w:lineRule="auto"/>
        <w:jc w:val="center"/>
        <w:rPr>
          <w:b/>
          <w:i/>
          <w:color w:val="4472C4" w:themeColor="accent5"/>
          <w:sz w:val="28"/>
        </w:rPr>
      </w:pPr>
      <w:r w:rsidRPr="00364D16">
        <w:rPr>
          <w:b/>
          <w:i/>
          <w:color w:val="4472C4" w:themeColor="accent5"/>
          <w:sz w:val="28"/>
        </w:rPr>
        <w:t>119 NW Beaver Ct, Dallas, OR 97338</w:t>
      </w:r>
    </w:p>
    <w:p w:rsidR="007E178E" w:rsidRDefault="007E178E" w:rsidP="0070696B">
      <w:pPr>
        <w:spacing w:after="0" w:line="240" w:lineRule="auto"/>
      </w:pPr>
    </w:p>
    <w:p w:rsidR="00DB5F75" w:rsidRDefault="007E178E" w:rsidP="00DB5F7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address belongs in the </w:t>
      </w:r>
      <w:r w:rsidRPr="002639DB">
        <w:rPr>
          <w:b/>
          <w:i/>
          <w:u w:val="single"/>
        </w:rPr>
        <w:t>City of Dallas</w:t>
      </w:r>
      <w:r>
        <w:t xml:space="preserve"> and </w:t>
      </w:r>
      <w:r w:rsidR="00DB5F75">
        <w:t xml:space="preserve">is within </w:t>
      </w:r>
      <w:r w:rsidR="00DB5F75" w:rsidRPr="002639DB">
        <w:rPr>
          <w:b/>
          <w:i/>
          <w:u w:val="single"/>
        </w:rPr>
        <w:t>Polk County</w:t>
      </w:r>
      <w:r w:rsidR="00DB5F75">
        <w:t>.</w:t>
      </w:r>
    </w:p>
    <w:p w:rsidR="002A3645" w:rsidRDefault="00DB5F75" w:rsidP="00DB5F7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address exists twice in the Accela database: </w:t>
      </w:r>
    </w:p>
    <w:p w:rsidR="002A3645" w:rsidRDefault="00DB5F75" w:rsidP="002A3645">
      <w:pPr>
        <w:spacing w:after="0" w:line="240" w:lineRule="auto"/>
        <w:ind w:left="720" w:firstLine="720"/>
      </w:pPr>
      <w:r>
        <w:t>1) f</w:t>
      </w:r>
      <w:r w:rsidR="002A3645">
        <w:t xml:space="preserve">or </w:t>
      </w:r>
      <w:r w:rsidR="002A3645" w:rsidRPr="002639DB">
        <w:rPr>
          <w:b/>
          <w:i/>
          <w:u w:val="single"/>
        </w:rPr>
        <w:t>City of Dallas</w:t>
      </w:r>
    </w:p>
    <w:p w:rsidR="00DB5F75" w:rsidRDefault="00DB5F75" w:rsidP="002A3645">
      <w:pPr>
        <w:spacing w:after="0" w:line="240" w:lineRule="auto"/>
        <w:ind w:left="720" w:firstLine="720"/>
      </w:pPr>
      <w:r>
        <w:t xml:space="preserve">2) for </w:t>
      </w:r>
      <w:r w:rsidRPr="002639DB">
        <w:rPr>
          <w:b/>
          <w:i/>
          <w:u w:val="single"/>
        </w:rPr>
        <w:t>Polk Co</w:t>
      </w:r>
      <w:r w:rsidR="002A3645" w:rsidRPr="002639DB">
        <w:rPr>
          <w:b/>
          <w:i/>
          <w:u w:val="single"/>
        </w:rPr>
        <w:t>unty</w:t>
      </w:r>
    </w:p>
    <w:p w:rsidR="00DB5F75" w:rsidRDefault="007E178E" w:rsidP="00DB5F75">
      <w:pPr>
        <w:pStyle w:val="ListParagraph"/>
        <w:numPr>
          <w:ilvl w:val="0"/>
          <w:numId w:val="1"/>
        </w:numPr>
        <w:spacing w:after="0" w:line="240" w:lineRule="auto"/>
      </w:pPr>
      <w:r w:rsidRPr="002639DB">
        <w:rPr>
          <w:b/>
          <w:i/>
          <w:u w:val="single"/>
        </w:rPr>
        <w:t>Polk County</w:t>
      </w:r>
      <w:r>
        <w:t xml:space="preserve"> </w:t>
      </w:r>
      <w:r w:rsidR="00DB5F75">
        <w:t>provides only the Electrical permit services for this address.</w:t>
      </w:r>
    </w:p>
    <w:p w:rsidR="007E178E" w:rsidRDefault="00DB5F75" w:rsidP="00DB5F75">
      <w:pPr>
        <w:pStyle w:val="ListParagraph"/>
        <w:numPr>
          <w:ilvl w:val="0"/>
          <w:numId w:val="1"/>
        </w:numPr>
        <w:spacing w:after="0" w:line="240" w:lineRule="auto"/>
      </w:pPr>
      <w:r w:rsidRPr="002639DB">
        <w:rPr>
          <w:b/>
          <w:i/>
          <w:u w:val="single"/>
        </w:rPr>
        <w:t>City of Dallas</w:t>
      </w:r>
      <w:r>
        <w:t xml:space="preserve"> provides all other permitting services for this address.</w:t>
      </w:r>
    </w:p>
    <w:p w:rsidR="00DB5F75" w:rsidRDefault="00DB5F75" w:rsidP="00DB5F75">
      <w:pPr>
        <w:spacing w:after="0" w:line="240" w:lineRule="auto"/>
      </w:pPr>
    </w:p>
    <w:p w:rsidR="008245A9" w:rsidRDefault="008245A9" w:rsidP="00DB5F75">
      <w:pPr>
        <w:spacing w:after="0" w:line="240" w:lineRule="auto"/>
      </w:pPr>
    </w:p>
    <w:p w:rsidR="008245A9" w:rsidRDefault="008245A9" w:rsidP="00DB5F75">
      <w:pPr>
        <w:spacing w:after="0" w:line="240" w:lineRule="auto"/>
      </w:pPr>
    </w:p>
    <w:p w:rsidR="00DB5F75" w:rsidRDefault="000D1FA9" w:rsidP="00DB5F75">
      <w:pPr>
        <w:spacing w:after="0" w:line="240" w:lineRule="auto"/>
      </w:pPr>
      <w:r>
        <w:t xml:space="preserve">For the </w:t>
      </w:r>
      <w:r w:rsidRPr="002639DB">
        <w:rPr>
          <w:b/>
          <w:i/>
          <w:u w:val="single"/>
        </w:rPr>
        <w:t>Polk County</w:t>
      </w:r>
      <w:r>
        <w:t xml:space="preserve"> address, </w:t>
      </w:r>
      <w:r w:rsidR="00DB5F75">
        <w:t>Service Lock Conditions are added for all services, except Electrical.  This configuration allows Citizen Access to display the correct services under the correct agency.</w:t>
      </w:r>
      <w:r w:rsidR="000D7C27">
        <w:t xml:space="preserve">  It also prevents the wrong record type from being created in the Accela Back Office product as well.</w:t>
      </w:r>
    </w:p>
    <w:p w:rsidR="00DB5F75" w:rsidRDefault="00DB5F75" w:rsidP="00DB5F75">
      <w:pPr>
        <w:spacing w:after="0" w:line="240" w:lineRule="auto"/>
      </w:pPr>
    </w:p>
    <w:p w:rsidR="008245A9" w:rsidRDefault="008245A9" w:rsidP="00DB5F75">
      <w:pPr>
        <w:spacing w:after="0" w:line="240" w:lineRule="auto"/>
      </w:pPr>
    </w:p>
    <w:p w:rsidR="008245A9" w:rsidRPr="000D7C27" w:rsidRDefault="000D7C27" w:rsidP="00DB5F75">
      <w:pPr>
        <w:spacing w:after="0" w:line="240" w:lineRule="auto"/>
        <w:rPr>
          <w:b/>
        </w:rPr>
      </w:pPr>
      <w:r w:rsidRPr="000D7C27">
        <w:rPr>
          <w:b/>
        </w:rPr>
        <w:t>Citizen Access:</w:t>
      </w:r>
    </w:p>
    <w:p w:rsidR="00DB5F75" w:rsidRDefault="00950E36" w:rsidP="00DB5F75">
      <w:pPr>
        <w:spacing w:after="0" w:line="240" w:lineRule="auto"/>
      </w:pPr>
      <w:r>
        <w:t xml:space="preserve">Public users </w:t>
      </w:r>
      <w:r w:rsidR="00DB5F75">
        <w:t xml:space="preserve">in Citizen </w:t>
      </w:r>
      <w:r w:rsidR="002639DB">
        <w:t xml:space="preserve">Access </w:t>
      </w:r>
      <w:r>
        <w:t xml:space="preserve">see the following </w:t>
      </w:r>
      <w:r w:rsidR="002639DB">
        <w:t xml:space="preserve">for this example address.  </w:t>
      </w:r>
      <w:r w:rsidR="00DB5F75" w:rsidRPr="00357728">
        <w:rPr>
          <w:b/>
          <w:i/>
          <w:highlight w:val="cyan"/>
          <w:u w:val="single"/>
        </w:rPr>
        <w:t>City of Dallas</w:t>
      </w:r>
      <w:r w:rsidR="00DB5F75">
        <w:t xml:space="preserve"> provides all permitting services.  And </w:t>
      </w:r>
      <w:r w:rsidR="00DB5F75" w:rsidRPr="00357728">
        <w:rPr>
          <w:b/>
          <w:i/>
          <w:highlight w:val="yellow"/>
          <w:u w:val="single"/>
        </w:rPr>
        <w:t>Polk County</w:t>
      </w:r>
      <w:r w:rsidR="00DB5F75">
        <w:t xml:space="preserve"> provides only the Electrical permit</w:t>
      </w:r>
      <w:r w:rsidR="0059651E">
        <w:t>ting service</w:t>
      </w:r>
      <w:r w:rsidR="00DB5F75">
        <w:t>.</w:t>
      </w:r>
    </w:p>
    <w:p w:rsidR="00DB5F75" w:rsidRDefault="00FD3C00" w:rsidP="00DB5F75">
      <w:pPr>
        <w:spacing w:after="0" w:line="240" w:lineRule="auto"/>
      </w:pPr>
      <w:r>
        <w:rPr>
          <w:noProof/>
        </w:rPr>
        <w:drawing>
          <wp:inline distT="0" distB="0" distL="0" distR="0" wp14:anchorId="4F0F99CD" wp14:editId="25FB79CE">
            <wp:extent cx="6858000" cy="3565525"/>
            <wp:effectExtent l="19050" t="19050" r="1905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65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C3500" w:rsidRDefault="007C3500" w:rsidP="00DB5F75">
      <w:pPr>
        <w:spacing w:after="0" w:line="240" w:lineRule="auto"/>
      </w:pPr>
    </w:p>
    <w:p w:rsidR="007C3500" w:rsidRDefault="007C3500">
      <w:r>
        <w:br w:type="page"/>
      </w:r>
    </w:p>
    <w:p w:rsidR="007C3500" w:rsidRDefault="007C3500" w:rsidP="00DB5F75">
      <w:pPr>
        <w:spacing w:after="0" w:line="240" w:lineRule="auto"/>
      </w:pPr>
      <w:r>
        <w:lastRenderedPageBreak/>
        <w:t xml:space="preserve">If Service Lock Conditions did not exist on this address for Polk County, public users would see the following.  Both </w:t>
      </w:r>
      <w:r w:rsidRPr="007C3500">
        <w:rPr>
          <w:b/>
          <w:i/>
          <w:highlight w:val="yellow"/>
          <w:u w:val="single"/>
        </w:rPr>
        <w:t>Polk County</w:t>
      </w:r>
      <w:r>
        <w:t xml:space="preserve"> and </w:t>
      </w:r>
      <w:r w:rsidRPr="007C3500">
        <w:rPr>
          <w:b/>
          <w:i/>
          <w:highlight w:val="cyan"/>
          <w:u w:val="single"/>
        </w:rPr>
        <w:t>City of Dallas</w:t>
      </w:r>
      <w:r>
        <w:t xml:space="preserve"> are showing the same services.  This adds confusion for the public user.  Additionally, they can incorrectly select the permit service in Polk County</w:t>
      </w:r>
      <w:r w:rsidR="004A1520">
        <w:t>, like Mechanical,</w:t>
      </w:r>
      <w:r>
        <w:t xml:space="preserve"> and a permit would be created for the wrong agency.</w:t>
      </w:r>
    </w:p>
    <w:p w:rsidR="007C3500" w:rsidRDefault="007C3500" w:rsidP="00DB5F75">
      <w:pPr>
        <w:spacing w:after="0" w:line="240" w:lineRule="auto"/>
      </w:pPr>
      <w:r>
        <w:rPr>
          <w:noProof/>
        </w:rPr>
        <w:drawing>
          <wp:inline distT="0" distB="0" distL="0" distR="0" wp14:anchorId="18F02535" wp14:editId="71828790">
            <wp:extent cx="6858000" cy="5123180"/>
            <wp:effectExtent l="19050" t="19050" r="19050" b="203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23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245A9" w:rsidRDefault="008245A9" w:rsidP="00DB5F75">
      <w:pPr>
        <w:spacing w:after="0" w:line="240" w:lineRule="auto"/>
      </w:pPr>
    </w:p>
    <w:p w:rsidR="000D7C27" w:rsidRPr="00DA700D" w:rsidRDefault="000D7C27" w:rsidP="00DB5F75">
      <w:pPr>
        <w:spacing w:after="0" w:line="240" w:lineRule="auto"/>
        <w:rPr>
          <w:b/>
        </w:rPr>
      </w:pPr>
      <w:r w:rsidRPr="00DA700D">
        <w:rPr>
          <w:b/>
        </w:rPr>
        <w:t>Back Office:</w:t>
      </w:r>
    </w:p>
    <w:p w:rsidR="000D7C27" w:rsidRDefault="00DA700D" w:rsidP="00DB5F75">
      <w:pPr>
        <w:spacing w:after="0" w:line="240" w:lineRule="auto"/>
      </w:pPr>
      <w:r>
        <w:t xml:space="preserve">County staff will see the following message if they attempt to create a new record for a record type </w:t>
      </w:r>
      <w:r w:rsidR="004C77C9">
        <w:t xml:space="preserve">at an address </w:t>
      </w:r>
      <w:r>
        <w:t>that they do not permit for, based on the Service Lock Conditions.</w:t>
      </w:r>
      <w:r w:rsidR="00E1244D">
        <w:t xml:space="preserve">  They will </w:t>
      </w:r>
      <w:r w:rsidR="00382809">
        <w:t xml:space="preserve">also </w:t>
      </w:r>
      <w:r w:rsidR="00E1244D">
        <w:t>be prevented from creating the record.</w:t>
      </w:r>
    </w:p>
    <w:p w:rsidR="00DA700D" w:rsidRDefault="00DA700D" w:rsidP="00DB5F75">
      <w:pPr>
        <w:spacing w:after="0" w:line="240" w:lineRule="auto"/>
      </w:pPr>
      <w:r>
        <w:rPr>
          <w:noProof/>
        </w:rPr>
        <w:drawing>
          <wp:inline distT="0" distB="0" distL="0" distR="0" wp14:anchorId="27C19EE9" wp14:editId="1BDB18A1">
            <wp:extent cx="3818535" cy="699279"/>
            <wp:effectExtent l="19050" t="19050" r="10795" b="2476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833" cy="706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00043" w:rsidRDefault="00D00043">
      <w:r>
        <w:br w:type="page"/>
      </w:r>
    </w:p>
    <w:p w:rsidR="007E6BD6" w:rsidRPr="00237F52" w:rsidRDefault="007E6BD6" w:rsidP="007E6BD6">
      <w:pPr>
        <w:spacing w:after="0" w:line="240" w:lineRule="auto"/>
        <w:rPr>
          <w:b/>
          <w:i/>
          <w:color w:val="4472C4" w:themeColor="accent5"/>
          <w:sz w:val="28"/>
        </w:rPr>
      </w:pPr>
      <w:r w:rsidRPr="00237F52">
        <w:rPr>
          <w:b/>
          <w:i/>
          <w:color w:val="4472C4" w:themeColor="accent5"/>
          <w:sz w:val="28"/>
        </w:rPr>
        <w:lastRenderedPageBreak/>
        <w:t>Automated Batch Script to Add Service Locks:</w:t>
      </w:r>
    </w:p>
    <w:p w:rsidR="008245A9" w:rsidRDefault="008245A9" w:rsidP="00DB5F75">
      <w:pPr>
        <w:spacing w:after="0" w:line="240" w:lineRule="auto"/>
      </w:pPr>
      <w:r>
        <w:t>Service Lock Conditions are added automatically with a database batch script th</w:t>
      </w:r>
      <w:r w:rsidR="00362429">
        <w:t>at is run on a nightly basis.  First, t</w:t>
      </w:r>
      <w:r>
        <w:t xml:space="preserve">he script </w:t>
      </w:r>
      <w:r w:rsidR="00362429">
        <w:t xml:space="preserve">looks at </w:t>
      </w:r>
      <w:r>
        <w:t xml:space="preserve">each parcel and </w:t>
      </w:r>
      <w:r w:rsidR="00362429">
        <w:t>evaluates</w:t>
      </w:r>
      <w:r>
        <w:t xml:space="preserve"> </w:t>
      </w:r>
      <w:r w:rsidR="00E030EE">
        <w:t>the values on the following P</w:t>
      </w:r>
      <w:r>
        <w:t xml:space="preserve">arcel </w:t>
      </w:r>
      <w:r w:rsidR="00E030EE">
        <w:t>A</w:t>
      </w:r>
      <w:r>
        <w:t>ttributes:</w:t>
      </w:r>
    </w:p>
    <w:p w:rsidR="00D00043" w:rsidRDefault="00D00043" w:rsidP="00DB5F75">
      <w:pPr>
        <w:spacing w:after="0" w:line="240" w:lineRule="auto"/>
      </w:pPr>
    </w:p>
    <w:p w:rsidR="008245A9" w:rsidRDefault="008245A9" w:rsidP="008245A9">
      <w:pPr>
        <w:pStyle w:val="ListParagraph"/>
        <w:numPr>
          <w:ilvl w:val="0"/>
          <w:numId w:val="3"/>
        </w:numPr>
        <w:spacing w:after="0" w:line="240" w:lineRule="auto"/>
      </w:pPr>
      <w:r>
        <w:t>Electrical Jurisdiction</w:t>
      </w:r>
    </w:p>
    <w:p w:rsidR="008245A9" w:rsidRDefault="008245A9" w:rsidP="008245A9">
      <w:pPr>
        <w:pStyle w:val="ListParagraph"/>
        <w:numPr>
          <w:ilvl w:val="0"/>
          <w:numId w:val="3"/>
        </w:numPr>
        <w:spacing w:after="0" w:line="240" w:lineRule="auto"/>
      </w:pPr>
      <w:r>
        <w:t>Mechanical Jurisdiction</w:t>
      </w:r>
    </w:p>
    <w:p w:rsidR="008245A9" w:rsidRDefault="008245A9" w:rsidP="008245A9">
      <w:pPr>
        <w:pStyle w:val="ListParagraph"/>
        <w:numPr>
          <w:ilvl w:val="0"/>
          <w:numId w:val="3"/>
        </w:numPr>
        <w:spacing w:after="0" w:line="240" w:lineRule="auto"/>
      </w:pPr>
      <w:r>
        <w:t>Plumbing Jurisdiction</w:t>
      </w:r>
    </w:p>
    <w:p w:rsidR="008245A9" w:rsidRDefault="008245A9" w:rsidP="008245A9">
      <w:pPr>
        <w:pStyle w:val="ListParagraph"/>
        <w:numPr>
          <w:ilvl w:val="0"/>
          <w:numId w:val="3"/>
        </w:numPr>
        <w:spacing w:after="0" w:line="240" w:lineRule="auto"/>
      </w:pPr>
      <w:r>
        <w:t>Structural Jurisdiction</w:t>
      </w:r>
    </w:p>
    <w:p w:rsidR="008245A9" w:rsidRDefault="008245A9" w:rsidP="008245A9">
      <w:pPr>
        <w:pStyle w:val="ListParagraph"/>
        <w:numPr>
          <w:ilvl w:val="0"/>
          <w:numId w:val="3"/>
        </w:numPr>
        <w:spacing w:after="0" w:line="240" w:lineRule="auto"/>
      </w:pPr>
      <w:r>
        <w:t>Septic Jurisdiction</w:t>
      </w:r>
    </w:p>
    <w:p w:rsidR="00D00043" w:rsidRDefault="00D00043" w:rsidP="00D00043">
      <w:pPr>
        <w:spacing w:after="0" w:line="240" w:lineRule="auto"/>
      </w:pPr>
    </w:p>
    <w:p w:rsidR="00D00043" w:rsidRDefault="001E1B86" w:rsidP="00D00043">
      <w:pPr>
        <w:spacing w:after="0" w:line="240" w:lineRule="auto"/>
      </w:pPr>
      <w:r>
        <w:t>Secondly, i</w:t>
      </w:r>
      <w:r w:rsidR="00D00043">
        <w:t>f the value is NOT the jurisdiction, then a Service Lock Condition is needed and added to the associated address(es).</w:t>
      </w:r>
    </w:p>
    <w:p w:rsidR="00D00043" w:rsidRDefault="00D00043" w:rsidP="00D00043">
      <w:pPr>
        <w:spacing w:after="0" w:line="240" w:lineRule="auto"/>
      </w:pPr>
    </w:p>
    <w:p w:rsidR="00D00043" w:rsidRPr="00AF2074" w:rsidRDefault="00D00043" w:rsidP="00D00043">
      <w:pPr>
        <w:spacing w:after="0" w:line="240" w:lineRule="auto"/>
        <w:rPr>
          <w:b/>
        </w:rPr>
      </w:pPr>
      <w:r w:rsidRPr="00AF2074">
        <w:rPr>
          <w:b/>
        </w:rPr>
        <w:t>For example:</w:t>
      </w:r>
    </w:p>
    <w:p w:rsidR="00D00043" w:rsidRDefault="00D00043" w:rsidP="00D00043">
      <w:pPr>
        <w:spacing w:after="0" w:line="240" w:lineRule="auto"/>
      </w:pPr>
    </w:p>
    <w:p w:rsidR="00653391" w:rsidRDefault="00D00043" w:rsidP="00D0004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If </w:t>
      </w:r>
      <w:r w:rsidRPr="00D00043">
        <w:rPr>
          <w:b/>
          <w:i/>
          <w:u w:val="single"/>
        </w:rPr>
        <w:t>Electrical Jurisdiction</w:t>
      </w:r>
      <w:r>
        <w:t xml:space="preserve"> = </w:t>
      </w:r>
      <w:r w:rsidRPr="00D00043">
        <w:rPr>
          <w:b/>
          <w:i/>
          <w:u w:val="single"/>
        </w:rPr>
        <w:t>Polk County</w:t>
      </w:r>
      <w:r>
        <w:t xml:space="preserve"> &gt; </w:t>
      </w:r>
      <w:r w:rsidR="00653391">
        <w:t>then:</w:t>
      </w:r>
    </w:p>
    <w:p w:rsidR="00D00043" w:rsidRDefault="00653391" w:rsidP="00653391">
      <w:pPr>
        <w:pStyle w:val="ListParagraph"/>
        <w:numPr>
          <w:ilvl w:val="1"/>
          <w:numId w:val="4"/>
        </w:numPr>
        <w:spacing w:after="0" w:line="240" w:lineRule="auto"/>
      </w:pPr>
      <w:r>
        <w:t>N</w:t>
      </w:r>
      <w:r w:rsidR="00D00043">
        <w:t>o Service Lock Condition is added</w:t>
      </w:r>
      <w:r w:rsidR="007B4C7E">
        <w:t xml:space="preserve"> for the County address</w:t>
      </w:r>
      <w:r w:rsidR="00D00043">
        <w:t>.</w:t>
      </w:r>
    </w:p>
    <w:p w:rsidR="00653391" w:rsidRDefault="00D00043" w:rsidP="00D0004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If </w:t>
      </w:r>
      <w:r w:rsidRPr="00D00043">
        <w:rPr>
          <w:b/>
          <w:i/>
          <w:u w:val="single"/>
        </w:rPr>
        <w:t>Mechanical Jurisdiction</w:t>
      </w:r>
      <w:r>
        <w:t xml:space="preserve"> = </w:t>
      </w:r>
      <w:r w:rsidRPr="00D00043">
        <w:rPr>
          <w:b/>
          <w:i/>
          <w:u w:val="single"/>
        </w:rPr>
        <w:t>Dallas</w:t>
      </w:r>
      <w:r>
        <w:t xml:space="preserve"> &gt; </w:t>
      </w:r>
      <w:r w:rsidR="001A14AF">
        <w:t xml:space="preserve">then the following Service Locks are added to the </w:t>
      </w:r>
      <w:r w:rsidR="007B4C7E">
        <w:t xml:space="preserve">County </w:t>
      </w:r>
      <w:r w:rsidR="001A14AF">
        <w:t>address(es):</w:t>
      </w:r>
    </w:p>
    <w:p w:rsidR="00D00043" w:rsidRDefault="00D00043" w:rsidP="00653391">
      <w:pPr>
        <w:pStyle w:val="ListParagraph"/>
        <w:numPr>
          <w:ilvl w:val="1"/>
          <w:numId w:val="4"/>
        </w:numPr>
        <w:spacing w:after="0" w:line="240" w:lineRule="auto"/>
      </w:pPr>
      <w:r>
        <w:t>Com</w:t>
      </w:r>
      <w:r w:rsidR="00601803">
        <w:t>mercial – Mechanical</w:t>
      </w:r>
    </w:p>
    <w:p w:rsidR="00601803" w:rsidRDefault="00601803" w:rsidP="0060180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Residential - Mechanical </w:t>
      </w:r>
    </w:p>
    <w:p w:rsidR="00653391" w:rsidRDefault="00653391" w:rsidP="00D0004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If </w:t>
      </w:r>
      <w:r w:rsidRPr="00E3115B">
        <w:rPr>
          <w:b/>
          <w:i/>
          <w:u w:val="single"/>
        </w:rPr>
        <w:t>Plumbing Jurisdiction</w:t>
      </w:r>
      <w:r>
        <w:t xml:space="preserve"> = </w:t>
      </w:r>
      <w:r w:rsidRPr="00E3115B">
        <w:rPr>
          <w:b/>
          <w:i/>
          <w:u w:val="single"/>
        </w:rPr>
        <w:t>Dallas</w:t>
      </w:r>
      <w:r>
        <w:t xml:space="preserve"> &gt; </w:t>
      </w:r>
      <w:r w:rsidR="001A14AF">
        <w:t xml:space="preserve">then the following Service Locks are added to the </w:t>
      </w:r>
      <w:r w:rsidR="007B4C7E">
        <w:t xml:space="preserve">County </w:t>
      </w:r>
      <w:r w:rsidR="001A14AF">
        <w:t>address(es):</w:t>
      </w:r>
    </w:p>
    <w:p w:rsidR="00601803" w:rsidRDefault="00601803" w:rsidP="00601803">
      <w:pPr>
        <w:pStyle w:val="ListParagraph"/>
        <w:numPr>
          <w:ilvl w:val="1"/>
          <w:numId w:val="4"/>
        </w:numPr>
        <w:spacing w:after="0" w:line="240" w:lineRule="auto"/>
      </w:pPr>
      <w:r>
        <w:t>Commercial - Plumbing</w:t>
      </w:r>
    </w:p>
    <w:p w:rsidR="00601803" w:rsidRDefault="00601803" w:rsidP="0060180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Residential - Plumbing </w:t>
      </w:r>
    </w:p>
    <w:p w:rsidR="00653391" w:rsidRDefault="00653391" w:rsidP="00D0004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If </w:t>
      </w:r>
      <w:r w:rsidRPr="00E3115B">
        <w:rPr>
          <w:b/>
          <w:i/>
          <w:u w:val="single"/>
        </w:rPr>
        <w:t>Structural Jurisdiction</w:t>
      </w:r>
      <w:r>
        <w:t xml:space="preserve"> = </w:t>
      </w:r>
      <w:r w:rsidRPr="00E3115B">
        <w:rPr>
          <w:b/>
          <w:i/>
          <w:u w:val="single"/>
        </w:rPr>
        <w:t>Dallas</w:t>
      </w:r>
      <w:r>
        <w:t xml:space="preserve"> &gt; </w:t>
      </w:r>
      <w:r w:rsidR="001A14AF">
        <w:t xml:space="preserve">then the following Service Locks are added to the </w:t>
      </w:r>
      <w:r w:rsidR="007B4C7E">
        <w:t xml:space="preserve">County </w:t>
      </w:r>
      <w:r w:rsidR="001A14AF">
        <w:t>address(es):</w:t>
      </w:r>
    </w:p>
    <w:p w:rsidR="001A14AF" w:rsidRDefault="00601803" w:rsidP="00653391">
      <w:pPr>
        <w:pStyle w:val="ListParagraph"/>
        <w:numPr>
          <w:ilvl w:val="1"/>
          <w:numId w:val="4"/>
        </w:numPr>
        <w:spacing w:after="0" w:line="240" w:lineRule="auto"/>
      </w:pPr>
      <w:r>
        <w:t>Commercial – Alarm or Suppression Systems</w:t>
      </w:r>
    </w:p>
    <w:p w:rsidR="00601803" w:rsidRDefault="00601803" w:rsidP="00653391">
      <w:pPr>
        <w:pStyle w:val="ListParagraph"/>
        <w:numPr>
          <w:ilvl w:val="1"/>
          <w:numId w:val="4"/>
        </w:numPr>
        <w:spacing w:after="0" w:line="240" w:lineRule="auto"/>
      </w:pPr>
      <w:r>
        <w:t>Commercial – Demolition</w:t>
      </w:r>
    </w:p>
    <w:p w:rsidR="00601803" w:rsidRDefault="00601803" w:rsidP="00653391">
      <w:pPr>
        <w:pStyle w:val="ListParagraph"/>
        <w:numPr>
          <w:ilvl w:val="1"/>
          <w:numId w:val="4"/>
        </w:numPr>
        <w:spacing w:after="0" w:line="240" w:lineRule="auto"/>
      </w:pPr>
      <w:r>
        <w:t>Commercial – Structural</w:t>
      </w:r>
    </w:p>
    <w:p w:rsidR="00601803" w:rsidRDefault="00601803" w:rsidP="00653391">
      <w:pPr>
        <w:pStyle w:val="ListParagraph"/>
        <w:numPr>
          <w:ilvl w:val="1"/>
          <w:numId w:val="4"/>
        </w:numPr>
        <w:spacing w:after="0" w:line="240" w:lineRule="auto"/>
      </w:pPr>
      <w:r>
        <w:t>Residential – 1 &amp; 2 Family Dwelling (Combination Permit for New Construction Only)</w:t>
      </w:r>
    </w:p>
    <w:p w:rsidR="00601803" w:rsidRDefault="00601803" w:rsidP="00653391">
      <w:pPr>
        <w:pStyle w:val="ListParagraph"/>
        <w:numPr>
          <w:ilvl w:val="1"/>
          <w:numId w:val="4"/>
        </w:numPr>
        <w:spacing w:after="0" w:line="240" w:lineRule="auto"/>
      </w:pPr>
      <w:r>
        <w:t>Residential – Manufactured Dwelling Placement</w:t>
      </w:r>
    </w:p>
    <w:p w:rsidR="00601803" w:rsidRDefault="00601803" w:rsidP="00653391">
      <w:pPr>
        <w:pStyle w:val="ListParagraph"/>
        <w:numPr>
          <w:ilvl w:val="1"/>
          <w:numId w:val="4"/>
        </w:numPr>
        <w:spacing w:after="0" w:line="240" w:lineRule="auto"/>
      </w:pPr>
      <w:r>
        <w:t>RV Park or Manufactured Home Park Area Development</w:t>
      </w:r>
      <w:r w:rsidR="00FD7709">
        <w:t xml:space="preserve"> Plan</w:t>
      </w:r>
    </w:p>
    <w:p w:rsidR="00D00043" w:rsidRDefault="00D00043" w:rsidP="00D00043">
      <w:pPr>
        <w:spacing w:after="0" w:line="240" w:lineRule="auto"/>
      </w:pPr>
    </w:p>
    <w:p w:rsidR="007236AC" w:rsidRDefault="00827B42" w:rsidP="00D00043">
      <w:pPr>
        <w:spacing w:after="0" w:line="240" w:lineRule="auto"/>
      </w:pPr>
      <w:r>
        <w:t>The Conditions can be seen in the Back Office</w:t>
      </w:r>
      <w:r w:rsidR="00FB6A03">
        <w:t xml:space="preserve">.  Go to </w:t>
      </w:r>
      <w:r>
        <w:t xml:space="preserve">the </w:t>
      </w:r>
      <w:r w:rsidRPr="008B2870">
        <w:rPr>
          <w:b/>
          <w:i/>
        </w:rPr>
        <w:t>Launchpad</w:t>
      </w:r>
      <w:r w:rsidR="00FB6A03">
        <w:t xml:space="preserve"> &gt; o</w:t>
      </w:r>
      <w:r>
        <w:t xml:space="preserve">pen the </w:t>
      </w:r>
      <w:r w:rsidRPr="008B2870">
        <w:rPr>
          <w:b/>
          <w:i/>
        </w:rPr>
        <w:t xml:space="preserve">Reference </w:t>
      </w:r>
      <w:r>
        <w:rPr>
          <w:b/>
          <w:i/>
        </w:rPr>
        <w:t>Address</w:t>
      </w:r>
      <w:r>
        <w:t xml:space="preserve"> page &gt; search for the appropriate </w:t>
      </w:r>
      <w:r>
        <w:rPr>
          <w:b/>
          <w:i/>
        </w:rPr>
        <w:t xml:space="preserve">Address </w:t>
      </w:r>
      <w:r>
        <w:t xml:space="preserve">&gt; navigate to </w:t>
      </w:r>
      <w:r>
        <w:rPr>
          <w:b/>
          <w:i/>
        </w:rPr>
        <w:t>Conditions</w:t>
      </w:r>
      <w:r>
        <w:t>:</w:t>
      </w:r>
    </w:p>
    <w:p w:rsidR="00827B42" w:rsidRDefault="00827B42" w:rsidP="00D00043">
      <w:pPr>
        <w:spacing w:after="0" w:line="240" w:lineRule="auto"/>
      </w:pPr>
      <w:r>
        <w:rPr>
          <w:noProof/>
        </w:rPr>
        <w:drawing>
          <wp:inline distT="0" distB="0" distL="0" distR="0" wp14:anchorId="0995EACD" wp14:editId="043D33E0">
            <wp:extent cx="6858000" cy="2801620"/>
            <wp:effectExtent l="19050" t="19050" r="19050" b="177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01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2F67" w:rsidRDefault="00D82F67">
      <w:pPr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br w:type="page"/>
      </w:r>
    </w:p>
    <w:p w:rsidR="00E7047E" w:rsidRPr="00237F52" w:rsidRDefault="00E7047E" w:rsidP="00D00043">
      <w:pPr>
        <w:spacing w:after="0" w:line="240" w:lineRule="auto"/>
        <w:rPr>
          <w:b/>
          <w:i/>
          <w:color w:val="4472C4" w:themeColor="accent5"/>
          <w:sz w:val="28"/>
        </w:rPr>
      </w:pPr>
      <w:r w:rsidRPr="00237F52">
        <w:rPr>
          <w:b/>
          <w:i/>
          <w:color w:val="4472C4" w:themeColor="accent5"/>
          <w:sz w:val="28"/>
        </w:rPr>
        <w:lastRenderedPageBreak/>
        <w:t xml:space="preserve">Agency’s </w:t>
      </w:r>
      <w:r w:rsidR="00CA7485" w:rsidRPr="00237F52">
        <w:rPr>
          <w:b/>
          <w:i/>
          <w:color w:val="4472C4" w:themeColor="accent5"/>
          <w:sz w:val="28"/>
        </w:rPr>
        <w:t xml:space="preserve">Data </w:t>
      </w:r>
      <w:r w:rsidRPr="00237F52">
        <w:rPr>
          <w:b/>
          <w:i/>
          <w:color w:val="4472C4" w:themeColor="accent5"/>
          <w:sz w:val="28"/>
        </w:rPr>
        <w:t>Responsibility:</w:t>
      </w:r>
    </w:p>
    <w:p w:rsidR="00B17191" w:rsidRDefault="00D82F67" w:rsidP="00D00043">
      <w:pPr>
        <w:spacing w:after="0" w:line="240" w:lineRule="auto"/>
      </w:pPr>
      <w:r>
        <w:t>Agencies that need Service Lock</w:t>
      </w:r>
      <w:r w:rsidR="00B17191">
        <w:t xml:space="preserve"> Conditions</w:t>
      </w:r>
      <w:r>
        <w:t xml:space="preserve"> must maintain the </w:t>
      </w:r>
      <w:r w:rsidR="00B17191">
        <w:t xml:space="preserve">data </w:t>
      </w:r>
      <w:r w:rsidR="00AF2074">
        <w:t>values in the Parcel A</w:t>
      </w:r>
      <w:r>
        <w:t>ttributes mentioned above.  These can be maintained</w:t>
      </w:r>
      <w:r w:rsidR="00B17191">
        <w:t xml:space="preserve"> in two different ways:</w:t>
      </w:r>
    </w:p>
    <w:p w:rsidR="00B17191" w:rsidRDefault="00B17191" w:rsidP="00B17191">
      <w:pPr>
        <w:pStyle w:val="ListParagraph"/>
        <w:numPr>
          <w:ilvl w:val="0"/>
          <w:numId w:val="7"/>
        </w:numPr>
        <w:spacing w:after="0" w:line="240" w:lineRule="auto"/>
      </w:pPr>
      <w:r>
        <w:t>M</w:t>
      </w:r>
      <w:r w:rsidR="00D82F67">
        <w:t xml:space="preserve">anually through the Accela Back Office product </w:t>
      </w:r>
      <w:r w:rsidR="00774456">
        <w:t>in the Reference Parcel page.</w:t>
      </w:r>
    </w:p>
    <w:p w:rsidR="00D82F67" w:rsidRDefault="00B17191" w:rsidP="00B17191">
      <w:pPr>
        <w:pStyle w:val="ListParagraph"/>
        <w:numPr>
          <w:ilvl w:val="0"/>
          <w:numId w:val="7"/>
        </w:numPr>
        <w:spacing w:after="0" w:line="240" w:lineRule="auto"/>
      </w:pPr>
      <w:r>
        <w:t>Automatically</w:t>
      </w:r>
      <w:r w:rsidR="00D82F67">
        <w:t xml:space="preserve"> through a routine APO load</w:t>
      </w:r>
      <w:r>
        <w:t xml:space="preserve"> </w:t>
      </w:r>
      <w:r w:rsidR="001812D4">
        <w:t xml:space="preserve">by populating </w:t>
      </w:r>
      <w:r>
        <w:t xml:space="preserve">the </w:t>
      </w:r>
      <w:r w:rsidRPr="008B2870">
        <w:rPr>
          <w:b/>
          <w:i/>
        </w:rPr>
        <w:t>parcel_attr.txt</w:t>
      </w:r>
      <w:r>
        <w:t xml:space="preserve"> file</w:t>
      </w:r>
      <w:r w:rsidR="00D82F67">
        <w:t>.</w:t>
      </w:r>
    </w:p>
    <w:p w:rsidR="00D82F67" w:rsidRDefault="00D82F67" w:rsidP="00D00043">
      <w:pPr>
        <w:spacing w:after="0" w:line="240" w:lineRule="auto"/>
      </w:pPr>
    </w:p>
    <w:p w:rsidR="00D82F67" w:rsidRPr="00D82F67" w:rsidRDefault="00D82F67" w:rsidP="00D00043">
      <w:pPr>
        <w:spacing w:after="0" w:line="240" w:lineRule="auto"/>
        <w:rPr>
          <w:b/>
        </w:rPr>
      </w:pPr>
      <w:r w:rsidRPr="00D82F67">
        <w:rPr>
          <w:b/>
        </w:rPr>
        <w:t>Accela Back Office:</w:t>
      </w:r>
    </w:p>
    <w:p w:rsidR="00D82F67" w:rsidRDefault="00D82F67" w:rsidP="00D82F6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From the </w:t>
      </w:r>
      <w:r w:rsidRPr="008B2870">
        <w:rPr>
          <w:b/>
          <w:i/>
        </w:rPr>
        <w:t>Launchpad</w:t>
      </w:r>
      <w:r>
        <w:t xml:space="preserve"> &gt; </w:t>
      </w:r>
      <w:r w:rsidR="00EE5BD2">
        <w:t>o</w:t>
      </w:r>
      <w:bookmarkStart w:id="0" w:name="_GoBack"/>
      <w:bookmarkEnd w:id="0"/>
      <w:r>
        <w:t xml:space="preserve">pen the </w:t>
      </w:r>
      <w:r w:rsidRPr="008B2870">
        <w:rPr>
          <w:b/>
          <w:i/>
        </w:rPr>
        <w:t>Reference Parcel</w:t>
      </w:r>
      <w:r>
        <w:t xml:space="preserve"> page &gt; search for the appropriate </w:t>
      </w:r>
      <w:r w:rsidRPr="008B2870">
        <w:rPr>
          <w:b/>
          <w:i/>
        </w:rPr>
        <w:t>Parcel</w:t>
      </w:r>
      <w:r>
        <w:t xml:space="preserve"> &gt; navigate to </w:t>
      </w:r>
      <w:r w:rsidRPr="008B2870">
        <w:rPr>
          <w:b/>
          <w:i/>
        </w:rPr>
        <w:t>Parcel Detail</w:t>
      </w:r>
      <w:r>
        <w:t xml:space="preserve"> &gt; </w:t>
      </w:r>
      <w:r w:rsidR="000E66F8">
        <w:t>s</w:t>
      </w:r>
      <w:r>
        <w:t xml:space="preserve">croll down to the </w:t>
      </w:r>
      <w:r w:rsidRPr="008B2870">
        <w:rPr>
          <w:b/>
          <w:i/>
        </w:rPr>
        <w:t>Jurisdiction Parcel attribute</w:t>
      </w:r>
      <w:r>
        <w:t xml:space="preserve"> fields.</w:t>
      </w:r>
    </w:p>
    <w:p w:rsidR="00D82F67" w:rsidRDefault="00D82F67" w:rsidP="00D82F67">
      <w:pPr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73FCC376" wp14:editId="59582718">
            <wp:extent cx="6409234" cy="1814169"/>
            <wp:effectExtent l="19050" t="19050" r="10795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0699" cy="18400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2F67" w:rsidRDefault="00D82F67" w:rsidP="00D00043">
      <w:pPr>
        <w:spacing w:after="0" w:line="240" w:lineRule="auto"/>
      </w:pPr>
    </w:p>
    <w:p w:rsidR="00D82F67" w:rsidRDefault="00D82F67" w:rsidP="00D82F6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Select the </w:t>
      </w:r>
      <w:r w:rsidRPr="008B2870">
        <w:rPr>
          <w:b/>
          <w:i/>
        </w:rPr>
        <w:t>permitting agency</w:t>
      </w:r>
      <w:r>
        <w:t xml:space="preserve"> for each </w:t>
      </w:r>
      <w:r w:rsidRPr="008B2870">
        <w:rPr>
          <w:b/>
          <w:i/>
        </w:rPr>
        <w:t>dropdown value</w:t>
      </w:r>
      <w:r>
        <w:t xml:space="preserve"> &gt; click </w:t>
      </w:r>
      <w:r w:rsidRPr="008B2870">
        <w:rPr>
          <w:b/>
          <w:i/>
        </w:rPr>
        <w:t>Save</w:t>
      </w:r>
      <w:r>
        <w:t xml:space="preserve"> at the top.  The Service Locks won’t be applied immediately.  They w</w:t>
      </w:r>
      <w:r w:rsidR="00DC371F">
        <w:t>ill be added that night (around 4:00 AM) through the automated batch script mentioned above.</w:t>
      </w:r>
    </w:p>
    <w:p w:rsidR="00D82F67" w:rsidRDefault="00D82F67" w:rsidP="00D82F67">
      <w:pPr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62908299" wp14:editId="5CD92712">
            <wp:extent cx="1755648" cy="1648496"/>
            <wp:effectExtent l="19050" t="19050" r="16510" b="279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8585" cy="16606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2F67" w:rsidRDefault="00D82F67" w:rsidP="00D82F67">
      <w:pPr>
        <w:spacing w:after="0" w:line="240" w:lineRule="auto"/>
      </w:pPr>
    </w:p>
    <w:p w:rsidR="00DC371F" w:rsidRDefault="00DC371F" w:rsidP="00D82F67">
      <w:pPr>
        <w:spacing w:after="0" w:line="240" w:lineRule="auto"/>
      </w:pPr>
    </w:p>
    <w:p w:rsidR="00D82F67" w:rsidRPr="00DC371F" w:rsidRDefault="00DC371F" w:rsidP="00D82F67">
      <w:pPr>
        <w:spacing w:after="0" w:line="240" w:lineRule="auto"/>
        <w:rPr>
          <w:b/>
        </w:rPr>
      </w:pPr>
      <w:r w:rsidRPr="00DC371F">
        <w:rPr>
          <w:b/>
        </w:rPr>
        <w:t xml:space="preserve">Routine </w:t>
      </w:r>
      <w:r w:rsidR="00D82F67" w:rsidRPr="00DC371F">
        <w:rPr>
          <w:b/>
        </w:rPr>
        <w:t>APO Load:</w:t>
      </w:r>
    </w:p>
    <w:p w:rsidR="00D82F67" w:rsidRDefault="00DC371F" w:rsidP="00DC371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Locate the file named </w:t>
      </w:r>
      <w:r w:rsidRPr="008B2870">
        <w:rPr>
          <w:b/>
          <w:i/>
        </w:rPr>
        <w:t>parcel_attr.txt</w:t>
      </w:r>
      <w:r>
        <w:t xml:space="preserve"> file.</w:t>
      </w:r>
    </w:p>
    <w:p w:rsidR="008550BE" w:rsidRDefault="008550BE" w:rsidP="008550BE">
      <w:pPr>
        <w:pStyle w:val="ListParagraph"/>
        <w:numPr>
          <w:ilvl w:val="0"/>
          <w:numId w:val="6"/>
        </w:numPr>
        <w:spacing w:after="0" w:line="240" w:lineRule="auto"/>
      </w:pPr>
      <w:r>
        <w:t>Add 4 rows for every parcel; one for each “Jurisdiction” Parcel Attribute field:</w:t>
      </w:r>
    </w:p>
    <w:p w:rsidR="008550BE" w:rsidRDefault="008550BE" w:rsidP="008550BE">
      <w:pPr>
        <w:pStyle w:val="ListParagraph"/>
        <w:numPr>
          <w:ilvl w:val="1"/>
          <w:numId w:val="6"/>
        </w:numPr>
        <w:spacing w:after="0" w:line="240" w:lineRule="auto"/>
      </w:pPr>
      <w:r>
        <w:t>Electrical Jurisdiction</w:t>
      </w:r>
    </w:p>
    <w:p w:rsidR="008550BE" w:rsidRDefault="008550BE" w:rsidP="008550BE">
      <w:pPr>
        <w:pStyle w:val="ListParagraph"/>
        <w:numPr>
          <w:ilvl w:val="1"/>
          <w:numId w:val="6"/>
        </w:numPr>
        <w:spacing w:after="0" w:line="240" w:lineRule="auto"/>
      </w:pPr>
      <w:r>
        <w:t>Mechanical Jurisdiction</w:t>
      </w:r>
    </w:p>
    <w:p w:rsidR="008550BE" w:rsidRDefault="008550BE" w:rsidP="008550BE">
      <w:pPr>
        <w:pStyle w:val="ListParagraph"/>
        <w:numPr>
          <w:ilvl w:val="1"/>
          <w:numId w:val="6"/>
        </w:numPr>
        <w:spacing w:after="0" w:line="240" w:lineRule="auto"/>
      </w:pPr>
      <w:r>
        <w:t>Plumbing Jurisdiction</w:t>
      </w:r>
    </w:p>
    <w:p w:rsidR="008550BE" w:rsidRDefault="008550BE" w:rsidP="008550BE">
      <w:pPr>
        <w:pStyle w:val="ListParagraph"/>
        <w:numPr>
          <w:ilvl w:val="1"/>
          <w:numId w:val="6"/>
        </w:numPr>
        <w:spacing w:after="0" w:line="240" w:lineRule="auto"/>
      </w:pPr>
      <w:r>
        <w:t>Structural Jurisdiction</w:t>
      </w:r>
    </w:p>
    <w:p w:rsidR="00DC371F" w:rsidRDefault="008550BE" w:rsidP="00DC371F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19343830" wp14:editId="08DDFD8A">
            <wp:extent cx="4242816" cy="1036745"/>
            <wp:effectExtent l="19050" t="19050" r="24765" b="114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4756" cy="10421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50BE" w:rsidRDefault="008550BE" w:rsidP="00DC371F">
      <w:pPr>
        <w:pStyle w:val="ListParagraph"/>
        <w:spacing w:after="0" w:line="240" w:lineRule="auto"/>
      </w:pPr>
    </w:p>
    <w:p w:rsidR="008550BE" w:rsidRDefault="008550BE" w:rsidP="008550BE">
      <w:pPr>
        <w:pStyle w:val="ListParagraph"/>
        <w:numPr>
          <w:ilvl w:val="0"/>
          <w:numId w:val="6"/>
        </w:numPr>
        <w:spacing w:after="0" w:line="240" w:lineRule="auto"/>
      </w:pPr>
      <w:r>
        <w:t>This file will automatically populate the Parcel Attribute fields once the APO load is run.</w:t>
      </w:r>
    </w:p>
    <w:p w:rsidR="008550BE" w:rsidRDefault="008550BE" w:rsidP="008550B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 Service Lock Condition automated batch script (mentioned above) will </w:t>
      </w:r>
      <w:r w:rsidR="005308B6">
        <w:t xml:space="preserve">run, </w:t>
      </w:r>
      <w:r>
        <w:t>follow</w:t>
      </w:r>
      <w:r w:rsidR="005308B6">
        <w:t>ing</w:t>
      </w:r>
      <w:r>
        <w:t xml:space="preserve"> </w:t>
      </w:r>
      <w:r w:rsidR="005308B6">
        <w:t xml:space="preserve">the </w:t>
      </w:r>
      <w:r>
        <w:t>APO load</w:t>
      </w:r>
      <w:r w:rsidR="005308B6">
        <w:t>,</w:t>
      </w:r>
      <w:r>
        <w:t xml:space="preserve"> and add the appropriate Service Lock Conditions to the address(es).</w:t>
      </w:r>
    </w:p>
    <w:sectPr w:rsidR="008550BE" w:rsidSect="007069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88C"/>
    <w:multiLevelType w:val="hybridMultilevel"/>
    <w:tmpl w:val="65502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125D"/>
    <w:multiLevelType w:val="hybridMultilevel"/>
    <w:tmpl w:val="2F96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B490C"/>
    <w:multiLevelType w:val="hybridMultilevel"/>
    <w:tmpl w:val="154C47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7608F"/>
    <w:multiLevelType w:val="hybridMultilevel"/>
    <w:tmpl w:val="723AA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01CF2"/>
    <w:multiLevelType w:val="hybridMultilevel"/>
    <w:tmpl w:val="62B89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442D"/>
    <w:multiLevelType w:val="hybridMultilevel"/>
    <w:tmpl w:val="B64C2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93100"/>
    <w:multiLevelType w:val="hybridMultilevel"/>
    <w:tmpl w:val="35E4F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6B"/>
    <w:rsid w:val="000D1FA9"/>
    <w:rsid w:val="000D7C27"/>
    <w:rsid w:val="000E66F8"/>
    <w:rsid w:val="001812D4"/>
    <w:rsid w:val="001A14AF"/>
    <w:rsid w:val="001E1B86"/>
    <w:rsid w:val="001F1CAF"/>
    <w:rsid w:val="00237F52"/>
    <w:rsid w:val="00252A9C"/>
    <w:rsid w:val="002639DB"/>
    <w:rsid w:val="002A3645"/>
    <w:rsid w:val="00342412"/>
    <w:rsid w:val="00357728"/>
    <w:rsid w:val="00362429"/>
    <w:rsid w:val="00364D16"/>
    <w:rsid w:val="00382809"/>
    <w:rsid w:val="004A1520"/>
    <w:rsid w:val="004C77C9"/>
    <w:rsid w:val="004F17F1"/>
    <w:rsid w:val="005308B6"/>
    <w:rsid w:val="0059651E"/>
    <w:rsid w:val="00601803"/>
    <w:rsid w:val="00653391"/>
    <w:rsid w:val="006F715D"/>
    <w:rsid w:val="0070696B"/>
    <w:rsid w:val="007236AC"/>
    <w:rsid w:val="0074677F"/>
    <w:rsid w:val="00774456"/>
    <w:rsid w:val="007B4C7E"/>
    <w:rsid w:val="007C3500"/>
    <w:rsid w:val="007E178E"/>
    <w:rsid w:val="007E6BD6"/>
    <w:rsid w:val="008245A9"/>
    <w:rsid w:val="00827B42"/>
    <w:rsid w:val="008550BE"/>
    <w:rsid w:val="00860ACF"/>
    <w:rsid w:val="008B0403"/>
    <w:rsid w:val="008B2870"/>
    <w:rsid w:val="00950E36"/>
    <w:rsid w:val="00A34308"/>
    <w:rsid w:val="00AF2074"/>
    <w:rsid w:val="00B16836"/>
    <w:rsid w:val="00B17191"/>
    <w:rsid w:val="00B2112B"/>
    <w:rsid w:val="00CA7485"/>
    <w:rsid w:val="00D00043"/>
    <w:rsid w:val="00D35F78"/>
    <w:rsid w:val="00D82F67"/>
    <w:rsid w:val="00DA700D"/>
    <w:rsid w:val="00DB5F75"/>
    <w:rsid w:val="00DC371F"/>
    <w:rsid w:val="00E030EE"/>
    <w:rsid w:val="00E1244D"/>
    <w:rsid w:val="00E3115B"/>
    <w:rsid w:val="00E7047E"/>
    <w:rsid w:val="00EE5BD2"/>
    <w:rsid w:val="00F507DC"/>
    <w:rsid w:val="00FB6A03"/>
    <w:rsid w:val="00FD3C00"/>
    <w:rsid w:val="00FD7709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D63A"/>
  <w15:chartTrackingRefBased/>
  <w15:docId w15:val="{B2B1B09C-CC9B-40CC-9D7A-80890331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Shamberger Heidi S</dc:creator>
  <cp:keywords/>
  <dc:description/>
  <cp:lastModifiedBy>Shamberger Heidi S</cp:lastModifiedBy>
  <cp:revision>52</cp:revision>
  <cp:lastPrinted>2019-09-12T16:49:00Z</cp:lastPrinted>
  <dcterms:created xsi:type="dcterms:W3CDTF">2019-09-05T20:46:00Z</dcterms:created>
  <dcterms:modified xsi:type="dcterms:W3CDTF">2019-09-12T20:14:00Z</dcterms:modified>
</cp:coreProperties>
</file>